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67B0B">
      <w:pPr>
        <w:jc w:val="center"/>
        <w:rPr>
          <w:b/>
          <w:sz w:val="28"/>
          <w:szCs w:val="28"/>
        </w:rPr>
      </w:pPr>
    </w:p>
    <w:p w14:paraId="06F0B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ANEXO III</w:t>
      </w:r>
    </w:p>
    <w:p w14:paraId="683F39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CRONOGRAMA DE ENTREGA</w:t>
      </w:r>
    </w:p>
    <w:tbl>
      <w:tblPr>
        <w:tblStyle w:val="3"/>
        <w:tblW w:w="9630" w:type="dxa"/>
        <w:tblInd w:w="-43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833"/>
        <w:gridCol w:w="4000"/>
        <w:gridCol w:w="1934"/>
        <w:gridCol w:w="1485"/>
        <w:gridCol w:w="1507"/>
      </w:tblGrid>
      <w:tr w14:paraId="1A8B0B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00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B5D6E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40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2241E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pt-BR"/>
              </w:rPr>
              <w:t>DESCRIÇÃO DO PRODUTO</w:t>
            </w:r>
          </w:p>
        </w:tc>
        <w:tc>
          <w:tcPr>
            <w:tcW w:w="1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67B7A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pt-BR"/>
              </w:rPr>
              <w:t>QUANTIDADE APROXIMADA POR ENTREGA (KG)</w:t>
            </w:r>
          </w:p>
        </w:tc>
        <w:tc>
          <w:tcPr>
            <w:tcW w:w="142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F5BA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pt-BR"/>
              </w:rPr>
              <w:t>FREQUÊNCIA DA ENTREGA</w:t>
            </w:r>
          </w:p>
        </w:tc>
        <w:tc>
          <w:tcPr>
            <w:tcW w:w="14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6F705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pt-BR"/>
              </w:rPr>
              <w:t>QUANTIDADE TOTAL ESTIMADA (KG)</w:t>
            </w:r>
          </w:p>
        </w:tc>
      </w:tr>
      <w:tr w14:paraId="18C841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35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DF834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2BB8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14:paraId="7524DB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Banana prata: Tipo extra - Fruta de 1ª qualidade, produto com coloração e odor característicos, não deve estar muito madura e nem muito verde, deve ser isento de matéria terrosa, parasitos e de detritos de animais sem danos físicos e mecânicos oriundos do manuseio de transporte</w:t>
            </w:r>
          </w:p>
          <w:p w14:paraId="74DB87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076C96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  <w:t>48,60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7861F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semanal</w:t>
            </w:r>
          </w:p>
        </w:tc>
        <w:tc>
          <w:tcPr>
            <w:tcW w:w="14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B67A9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  <w:t>1.944</w:t>
            </w:r>
          </w:p>
        </w:tc>
      </w:tr>
      <w:tr w14:paraId="4904B6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15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7C6B4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DE88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14:paraId="142B58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Banana pacovã, in natura, com casca, de primeira qualidade, em pencas avulsas, com 80% de maturação, com polpa firme e intacta, livre de sujidades, parasitas, fungos, larvas e resíduo de fertilizante. Sem danos físicos ou mecânicos causados por manuseio e/ou transporte.</w:t>
            </w:r>
          </w:p>
          <w:p w14:paraId="77B52F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9383C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  <w:t>48,60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A3AD6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semanal</w:t>
            </w:r>
          </w:p>
        </w:tc>
        <w:tc>
          <w:tcPr>
            <w:tcW w:w="14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F497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  <w:t>1.944</w:t>
            </w:r>
          </w:p>
        </w:tc>
      </w:tr>
      <w:tr w14:paraId="42C4E9F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15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55421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40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8559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14:paraId="52A9C1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Melancia: tipo extra - Fruta de 1ª qualidade, produto com coloração e odor característicos, deve ser isento de matéria terrosa, parasitos e de detritos de animais sem danos físicos e mecânicos oriundos do manuseio de transporte.</w:t>
            </w:r>
          </w:p>
          <w:p w14:paraId="1B502B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5231B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  <w:t>48,60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495D3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semanal</w:t>
            </w:r>
          </w:p>
        </w:tc>
        <w:tc>
          <w:tcPr>
            <w:tcW w:w="14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AD362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  <w:t>1.944</w:t>
            </w:r>
          </w:p>
        </w:tc>
      </w:tr>
      <w:tr w14:paraId="0ECF271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75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74ECC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6373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14:paraId="76B424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Melão: de 1ª qualidade, redondo, casca lisa, graúdo, livre de sujidades, parasitas e larvas, tamanho e coloração uniformes desenvolvida e madura, com polpa firme e intacta, fornecimento a granel.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C04B2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  <w:t>48,60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F05F7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semanal</w:t>
            </w:r>
          </w:p>
        </w:tc>
        <w:tc>
          <w:tcPr>
            <w:tcW w:w="14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FAFD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  <w:t>1.944</w:t>
            </w:r>
          </w:p>
        </w:tc>
      </w:tr>
      <w:tr w14:paraId="00FDB34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15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3A68D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40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8A6A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14:paraId="7FB2D394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Laranja- Fruta de 1ª qualidade, produto com coloração e odor característicos, não deve estar muito madura e nem muito verde, deve ser isento de matéria terrosa, parasitos e de detritos de animais sem danos físicos e mecânicos oriundos do manuseio de transporte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  <w:t>.</w:t>
            </w:r>
          </w:p>
          <w:p w14:paraId="6B2B93EA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B08A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  <w:t>48,60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B6DB0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  <w:t>semanal</w:t>
            </w:r>
          </w:p>
        </w:tc>
        <w:tc>
          <w:tcPr>
            <w:tcW w:w="14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6D770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pt-BR"/>
              </w:rPr>
              <w:t>1.944</w:t>
            </w:r>
          </w:p>
        </w:tc>
      </w:tr>
    </w:tbl>
    <w:p w14:paraId="634C550E"/>
    <w:p w14:paraId="3F0FD0E0">
      <w:pPr>
        <w:spacing w:before="90"/>
        <w:ind w:left="110" w:hanging="536"/>
        <w:rPr>
          <w:b/>
          <w:sz w:val="24"/>
        </w:rPr>
      </w:pPr>
      <w:r>
        <w:rPr>
          <w:b/>
          <w:sz w:val="24"/>
        </w:rPr>
        <w:t>Observações:</w:t>
      </w:r>
    </w:p>
    <w:p w14:paraId="09590D4F">
      <w:pPr>
        <w:pStyle w:val="4"/>
        <w:spacing w:before="158"/>
        <w:ind w:left="-426" w:right="240"/>
        <w:jc w:val="both"/>
      </w:pPr>
      <w:r>
        <w:t>Os quantitativos por entrega são meras previsões, de acordo com o histórico de consumo do Campus.</w:t>
      </w:r>
      <w:r>
        <w:rPr>
          <w:spacing w:val="1"/>
        </w:rPr>
        <w:t xml:space="preserve"> </w:t>
      </w:r>
      <w:r>
        <w:t>Portanto, essas quantidades poderão ser alteradas, conforme necessidade do Campus, desde que não causem</w:t>
      </w:r>
      <w:r>
        <w:rPr>
          <w:spacing w:val="-57"/>
        </w:rPr>
        <w:t xml:space="preserve"> </w:t>
      </w:r>
      <w:r>
        <w:t>ônus,</w:t>
      </w:r>
      <w:r>
        <w:rPr>
          <w:spacing w:val="-1"/>
        </w:rPr>
        <w:t xml:space="preserve"> </w:t>
      </w:r>
      <w:r>
        <w:t>não previstos nesta</w:t>
      </w:r>
      <w:r>
        <w:rPr>
          <w:spacing w:val="-1"/>
        </w:rPr>
        <w:t xml:space="preserve"> </w:t>
      </w:r>
      <w:r>
        <w:t>chamada pública, aos</w:t>
      </w:r>
      <w:r>
        <w:rPr>
          <w:spacing w:val="-1"/>
        </w:rPr>
        <w:t xml:space="preserve"> </w:t>
      </w:r>
      <w:r>
        <w:t>fornecedores.</w:t>
      </w:r>
    </w:p>
    <w:p w14:paraId="758724E3">
      <w:pPr>
        <w:pStyle w:val="4"/>
        <w:spacing w:before="11"/>
        <w:ind w:hanging="536"/>
        <w:jc w:val="both"/>
        <w:rPr>
          <w:sz w:val="20"/>
        </w:rPr>
      </w:pPr>
    </w:p>
    <w:p w14:paraId="57EEB217">
      <w:pPr>
        <w:pStyle w:val="4"/>
        <w:ind w:left="-426" w:right="94"/>
        <w:jc w:val="both"/>
      </w:pPr>
      <w:r>
        <w:t>As entregas serão solicitadas pelo responsável pelo PNAE do Campus. A convocação do fornecedor poderá</w:t>
      </w:r>
      <w:r>
        <w:rPr>
          <w:spacing w:val="1"/>
        </w:rPr>
        <w:t xml:space="preserve"> </w:t>
      </w:r>
      <w:r>
        <w:t>ser por telefone ou e-mail. Na convocação será informado o dia e o horário para entrega dos produtos. O</w:t>
      </w:r>
      <w:r>
        <w:rPr>
          <w:spacing w:val="1"/>
        </w:rPr>
        <w:t xml:space="preserve"> </w:t>
      </w:r>
      <w:r>
        <w:t>cronograma detalhado será definido através de uma reunião, entre o responsável pelo pedido e os agricultores</w:t>
      </w:r>
      <w:r>
        <w:rPr>
          <w:rFonts w:hint="default"/>
          <w:lang w:val="pt-BR"/>
        </w:rPr>
        <w:t xml:space="preserve"> </w:t>
      </w:r>
      <w:bookmarkStart w:id="0" w:name="_GoBack"/>
      <w:bookmarkEnd w:id="0"/>
      <w:r>
        <w:rPr>
          <w:spacing w:val="-58"/>
        </w:rPr>
        <w:t xml:space="preserve"> </w:t>
      </w:r>
      <w:r>
        <w:t>selecionados</w:t>
      </w:r>
      <w:r>
        <w:rPr>
          <w:spacing w:val="-1"/>
        </w:rPr>
        <w:t xml:space="preserve"> </w:t>
      </w:r>
      <w:r>
        <w:t>nesta Chamada Pública.</w:t>
      </w:r>
    </w:p>
    <w:sectPr>
      <w:headerReference r:id="rId5" w:type="default"/>
      <w:pgSz w:w="11906" w:h="16838"/>
      <w:pgMar w:top="1417" w:right="99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D0392">
    <w:pPr>
      <w:spacing w:before="97" w:after="0"/>
      <w:ind w:left="1181" w:right="1198"/>
      <w:jc w:val="center"/>
      <w:rPr>
        <w:b/>
        <w:sz w:val="21"/>
      </w:rPr>
    </w:pPr>
    <w:r>
      <w:rPr>
        <w:sz w:val="20"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-106680</wp:posOffset>
          </wp:positionV>
          <wp:extent cx="826770" cy="819150"/>
          <wp:effectExtent l="0" t="0" r="0" b="0"/>
          <wp:wrapTight wrapText="bothSides">
            <wp:wrapPolygon>
              <wp:start x="10949" y="0"/>
              <wp:lineTo x="5972" y="502"/>
              <wp:lineTo x="498" y="4521"/>
              <wp:lineTo x="0" y="15070"/>
              <wp:lineTo x="0" y="17079"/>
              <wp:lineTo x="5972" y="21098"/>
              <wp:lineTo x="7465" y="21098"/>
              <wp:lineTo x="13935" y="21098"/>
              <wp:lineTo x="15429" y="21098"/>
              <wp:lineTo x="20903" y="17079"/>
              <wp:lineTo x="20406" y="6028"/>
              <wp:lineTo x="15926" y="1005"/>
              <wp:lineTo x="12940" y="0"/>
              <wp:lineTo x="10949" y="0"/>
            </wp:wrapPolygon>
          </wp:wrapTight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1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6770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C34004">
    <w:pPr>
      <w:spacing w:before="97" w:after="0"/>
      <w:ind w:left="1181" w:right="1198"/>
      <w:jc w:val="center"/>
      <w:rPr>
        <w:b/>
        <w:sz w:val="21"/>
      </w:rPr>
    </w:pPr>
  </w:p>
  <w:p w14:paraId="349C74F5">
    <w:pPr>
      <w:spacing w:before="97" w:after="0"/>
      <w:ind w:left="1181" w:right="1198"/>
      <w:jc w:val="center"/>
      <w:rPr>
        <w:b/>
        <w:sz w:val="21"/>
      </w:rPr>
    </w:pPr>
  </w:p>
  <w:p w14:paraId="75372696">
    <w:pPr>
      <w:spacing w:before="97" w:after="0"/>
      <w:ind w:left="1181" w:right="1198"/>
      <w:jc w:val="center"/>
      <w:rPr>
        <w:b/>
        <w:sz w:val="21"/>
      </w:rPr>
    </w:pPr>
    <w:r>
      <w:rPr>
        <w:b/>
        <w:sz w:val="21"/>
      </w:rPr>
      <w:t>MINISTÉRIO</w:t>
    </w:r>
    <w:r>
      <w:rPr>
        <w:b/>
        <w:spacing w:val="20"/>
        <w:sz w:val="21"/>
      </w:rPr>
      <w:t xml:space="preserve"> </w:t>
    </w:r>
    <w:r>
      <w:rPr>
        <w:b/>
        <w:sz w:val="21"/>
      </w:rPr>
      <w:t>DA</w:t>
    </w:r>
    <w:r>
      <w:rPr>
        <w:b/>
        <w:spacing w:val="20"/>
        <w:sz w:val="21"/>
      </w:rPr>
      <w:t xml:space="preserve"> </w:t>
    </w:r>
    <w:r>
      <w:rPr>
        <w:b/>
        <w:sz w:val="21"/>
      </w:rPr>
      <w:t>EDUCAÇÃO</w:t>
    </w:r>
  </w:p>
  <w:p w14:paraId="685388A1">
    <w:pPr>
      <w:spacing w:after="0"/>
      <w:jc w:val="center"/>
      <w:rPr>
        <w:sz w:val="16"/>
        <w:szCs w:val="16"/>
      </w:rPr>
    </w:pPr>
    <w:r>
      <w:rPr>
        <w:sz w:val="16"/>
        <w:szCs w:val="16"/>
      </w:rPr>
      <w:t xml:space="preserve">SECRETARIA DE EDUCAÇÃO PROFISSIONAL E TECNOLÓGICA </w:t>
    </w:r>
  </w:p>
  <w:p w14:paraId="4C568E11">
    <w:pPr>
      <w:spacing w:after="0"/>
      <w:jc w:val="center"/>
      <w:rPr>
        <w:sz w:val="16"/>
        <w:szCs w:val="16"/>
      </w:rPr>
    </w:pPr>
    <w:r>
      <w:rPr>
        <w:sz w:val="16"/>
        <w:szCs w:val="16"/>
      </w:rPr>
      <w:t>INSTITUTO FEDERAL DE EDUCAÇÃO, CIÊNCIA E TECNOLOGIA DE RORAIMA IFRR – Campus Amajari</w:t>
    </w:r>
  </w:p>
  <w:p w14:paraId="4867E5D5">
    <w:pPr>
      <w:spacing w:after="0"/>
      <w:jc w:val="center"/>
      <w:rPr>
        <w:rFonts w:ascii="Times New Roman" w:hAnsi="Times New Roman" w:cs="Times New Roman"/>
        <w:sz w:val="16"/>
        <w:szCs w:val="16"/>
      </w:rPr>
    </w:pPr>
    <w:r>
      <w:rPr>
        <w:sz w:val="16"/>
        <w:szCs w:val="16"/>
      </w:rPr>
      <w:t>Departamento de Adminsitração e Planejamento</w:t>
    </w:r>
  </w:p>
  <w:p w14:paraId="72253287">
    <w:pPr>
      <w:spacing w:before="2" w:after="0" w:line="249" w:lineRule="auto"/>
      <w:ind w:right="-1"/>
      <w:jc w:val="center"/>
      <w:rPr>
        <w:w w:val="105"/>
        <w:sz w:val="15"/>
      </w:rPr>
    </w:pPr>
    <w:r>
      <w:rPr>
        <w:w w:val="105"/>
        <w:sz w:val="15"/>
      </w:rPr>
      <w:t xml:space="preserve">              Rodovia Antonio Menezes (antiga RR342), vicinal que liga a Balsa de Aparecida à Vila Brasil, Km03,</w:t>
    </w:r>
  </w:p>
  <w:p w14:paraId="025594B1">
    <w:pPr>
      <w:spacing w:before="2" w:after="0" w:line="249" w:lineRule="auto"/>
      <w:ind w:right="-1"/>
      <w:jc w:val="center"/>
      <w:rPr>
        <w:w w:val="105"/>
        <w:sz w:val="15"/>
      </w:rPr>
    </w:pPr>
    <w:r>
      <w:rPr>
        <w:w w:val="105"/>
        <w:sz w:val="15"/>
      </w:rPr>
      <w:t xml:space="preserve"> Amajari-RR/CEP 69343- 000 – Boa Vista-RR – www.ifrr.edu.br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201"/>
    <w:rsid w:val="00111E99"/>
    <w:rsid w:val="00256201"/>
    <w:rsid w:val="0084422C"/>
    <w:rsid w:val="00A707DD"/>
    <w:rsid w:val="00AC1B16"/>
    <w:rsid w:val="00B834BC"/>
    <w:rsid w:val="00EB7670"/>
    <w:rsid w:val="00EC603B"/>
    <w:rsid w:val="1D00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pt-PT"/>
    </w:rPr>
  </w:style>
  <w:style w:type="paragraph" w:styleId="5">
    <w:name w:val="header"/>
    <w:basedOn w:val="1"/>
    <w:link w:val="7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6">
    <w:name w:val="footer"/>
    <w:basedOn w:val="1"/>
    <w:link w:val="8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7">
    <w:name w:val="Cabeçalho Char"/>
    <w:basedOn w:val="2"/>
    <w:link w:val="5"/>
    <w:uiPriority w:val="99"/>
  </w:style>
  <w:style w:type="character" w:customStyle="1" w:styleId="8">
    <w:name w:val="Rodapé Char"/>
    <w:basedOn w:val="2"/>
    <w:link w:val="6"/>
    <w:uiPriority w:val="99"/>
  </w:style>
  <w:style w:type="character" w:customStyle="1" w:styleId="9">
    <w:name w:val="Corpo de texto Char"/>
    <w:basedOn w:val="2"/>
    <w:link w:val="4"/>
    <w:uiPriority w:val="1"/>
    <w:rPr>
      <w:rFonts w:ascii="Times New Roman" w:hAnsi="Times New Roman" w:eastAsia="Times New Roman" w:cs="Times New Roman"/>
      <w:sz w:val="24"/>
      <w:szCs w:val="24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1835</Characters>
  <Lines>15</Lines>
  <Paragraphs>4</Paragraphs>
  <TotalTime>5</TotalTime>
  <ScaleCrop>false</ScaleCrop>
  <LinksUpToDate>false</LinksUpToDate>
  <CharactersWithSpaces>2170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2022-11-17T14:14:00Z</dcterms:created>
  <dc:creator>CAM</dc:creator>
  <cp:lastModifiedBy>Vitória Sampaio</cp:lastModifiedBy>
  <dcterms:modified xsi:type="dcterms:W3CDTF">2024-10-31T18:47:31Z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1046-12.2.0.18607</vt:lpwstr>
  </property>
  <property fmtid="{D5CDD505-2E9C-101B-9397-08002B2CF9AE}" pid="3" name="ICV">
    <vt:lpwstr>F9B2404E35444147BB1318536DFBE9D0_12</vt:lpwstr>
  </property>
</Properties>
</file>